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4月15日前需要报送的有关材料说明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1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一、秦皇岛市五一劳动奖状推荐对象需要报送以下材料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（一）职代会会议纪要或会议决议（需要盖工会章，写清楚参加会议人数、同意人数、不同意人数、弃权人数）和职代会现场照片。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（二）公示证明材料（报送公示现场照片、公示内容照片、公示无异议书面报告或公示处理情况报告）。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推荐对象须在所在单位公示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u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u w:val="none"/>
          <w:lang w:val="en-US" w:eastAsia="zh-CN"/>
        </w:rPr>
        <w:t>5个工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val="en-US" w:eastAsia="zh-CN"/>
        </w:rPr>
        <w:t>作日（周末、节假日不包含在内）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。推荐对象必须公示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具体完整的单位名称和简要事迹。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荣誉证明材料（荣誉证书照片或表彰文件）。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左右事迹材料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和200字事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迹简介（格式内容见模板）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（五）征求意见表（根据推荐单位性质，按要求征求有关部门意见，逐一签署意见、时间并盖章）。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初审汇总表（严格按下发的表格填报，不得随意更改格式）。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推荐审批表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（市级公示后填报即可，4月15日无需报送。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严格按下发的表格填报，不得随意更改格式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），填表说明一并附后。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（八）各县区凡推荐企业，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须由区工会出具该单位已组建工会、拨缴工会经费，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依法建立职工代表大会制度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集体合同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制度、以及依照《公司法》有关要求建立职工董事制度、职工监事制度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九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）推荐单位对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民主程序（职代会、基层公示）、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推荐对象身份、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荣誉基础、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事迹真实性认定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、处罚及征求意见情况（用天眼查、信用中国、国家企业信用信息系统等网站查询）等进行审核，并出具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书面报告（推荐函）。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）推荐对象3分钟先进事迹专题片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（具体要求附后）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二、秦皇岛市五一劳动奖章推荐对象需要报送以下材料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（一）职代会会议纪要或会议决议（需要盖工会章，写清楚参加会议人数、同意人数、不同意人数、弃权人数）和职代会现场照片。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（二）公示证明材料（报送公示现场照片、公示内容照片、公示无异议书面报告或公示处理情况报告）。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推荐对象须在所在单位公示不少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u w:val="none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u w:val="none"/>
          <w:lang w:val="en-US" w:eastAsia="zh-CN"/>
        </w:rPr>
        <w:t>5个工作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val="en-US" w:eastAsia="zh-CN"/>
        </w:rPr>
        <w:t>日（周末、节假日不包含在内）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val="en-US" w:eastAsia="zh-CN"/>
        </w:rPr>
        <w:t>秦皇岛市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</w:rPr>
        <w:t>五一劳动奖章推荐对象必须公示姓名、单位及职务和简要事迹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（三）荣誉证明材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料（荣誉证书照片或表彰文件）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左右事迹材料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和200字事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迹简介（格式内容见模板）。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征求意见表（根据推荐对象身份，按要求征求有关部门意见，逐一签署意见、时间并盖章）。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初审汇总表（严格按下发的表格填报，不得随意更改格式）。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（七）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推荐审批表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（市级公示后填报即可，4月15日无需报送。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严格按下发的表格填报，不得随意更改格式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），填表说明一并附后。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（八）各县区凡推荐企业负责人，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须由区工会出具该单位已组建工会、拨缴工会经费，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依法建立职工代表大会制度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集体合同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制度、以及依照《公司法》有关要求建立职工董事制度、职工监事制度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的证明。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（九）非公企业负责人，需要提供三年内“非公经济代表人士综合评价结果”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。评价结果是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A或B ，可以参评；评价结果是C，不可参评。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）农民工需要提供农业户口证明（户口页或户籍地书面证明）。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）有职称或技术等级的，要提供职称证书、专业技术证书照片。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推荐单位对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民主程序（职代会、基层公示）、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推荐对象身份、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荣誉基础、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事迹真实性认定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、处罚及征求意见情况（用天眼查、信用中国、国家企业信用信息系统等网站查询）等进行审核，并出具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书面报告（推荐函）。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十三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）推荐对象3分钟先进事迹专题片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（具体要求附后）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三、秦皇岛市工人先锋号推荐对象需要报送以下材料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（一）职代会会议纪要或会议决议（需要盖工会章，写清楚参加会议人数、同意人数、不同意人数、弃权人数）和职代会现场照片。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（二）公示证明材料（报送公示现场照片、公示内容照片、公示无异议书面报告或公示处理情况报告）。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推荐对象须在所在单位公示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u w:val="none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22"/>
          <w:u w:val="none"/>
          <w:lang w:val="en-US" w:eastAsia="zh-CN"/>
        </w:rPr>
        <w:t>5个工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val="en-US" w:eastAsia="zh-CN"/>
        </w:rPr>
        <w:t>作日（周末、节假日不包含在内）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val="en-US" w:eastAsia="zh-CN"/>
        </w:rPr>
        <w:t>秦皇岛市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</w:rPr>
        <w:t>工人先锋号的推荐对象必须公示具体完整的单位名称和简要事迹</w:t>
      </w:r>
      <w:r>
        <w:rPr>
          <w:rFonts w:hint="eastAsia" w:ascii="仿宋_GB2312" w:hAnsi="仿宋_GB2312" w:eastAsia="仿宋_GB2312" w:cs="仿宋_GB2312"/>
          <w:color w:val="auto"/>
          <w:sz w:val="32"/>
          <w:szCs w:val="2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（三）荣誉证明材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料（荣誉证书照片或表彰文件）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左右事迹材料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和200字事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迹简介（格式内容见模板）。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初审汇总表（严格按下发的表格填报，不得随意更改格式）。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推荐审批表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（市级公示后填报即可，4月15日无需报送。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严格按下发的表格填报，不得随意更改格式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），填表说明一并附后。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推荐单位对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民主程序（职代会、基层公示）、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推荐对象身份、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荣誉基础、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事迹真实性认定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、处罚及征求意见情况（用天眼查、信用中国、国家企业信用信息系统等网站查询）等进行审核，并出具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书面报告（推荐函）。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八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）推荐对象3分钟先进事迹专题片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（具体要求附后）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eastAsia="zh-CN"/>
        </w:rPr>
        <w:t>其他有关说明：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以上材料要逐一认真核对无误后扫描（PDF）或拍照上报，有关事迹材料和汇总表同时报送可编辑的电子版。纸质版材料要按照以上清单顺序整理上报。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eastAsia="zh-CN"/>
        </w:rPr>
        <w:t>县（区）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</w:rPr>
        <w:t>级工会召开主席会议审议通过，并向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eastAsia="zh-CN"/>
        </w:rPr>
        <w:t>县（区）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</w:rPr>
        <w:t>委分管领导、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eastAsia="zh-CN"/>
        </w:rPr>
        <w:t>县（区）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</w:rPr>
        <w:t>政府联系领导报告后，形成专项推荐工作报告上报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color w:val="000000"/>
          <w:spacing w:val="0"/>
          <w:kern w:val="21"/>
          <w:sz w:val="32"/>
          <w:szCs w:val="32"/>
        </w:rPr>
        <w:t>总。其他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推荐单位对推荐情况进行集体研究，报领导审批同意后，形成专项推荐工作报告上报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方正仿宋_GBK" w:cs="Times New Roman"/>
          <w:snapToGrid/>
          <w:kern w:val="2"/>
          <w:sz w:val="32"/>
          <w:szCs w:val="32"/>
        </w:rPr>
        <w:t>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推荐对象3分钟先进事迹专题片视频拍摄技术尽量满足以下要求：①拍摄要求：所提供视频为MP4格式。1920×1080（横版）高清。②采访尽量采用专业话筒收声，尽量保证没有噪音。摄像机设置成拍“立体声”模式。③场景丰富，画面多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E9A842"/>
    <w:multiLevelType w:val="singleLevel"/>
    <w:tmpl w:val="63E9A842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DcxMTEwMTFhMDczMTgwNWJhZmM2MmM1YjAxYjYifQ=="/>
  </w:docVars>
  <w:rsids>
    <w:rsidRoot w:val="00000000"/>
    <w:rsid w:val="02451D34"/>
    <w:rsid w:val="05D610DF"/>
    <w:rsid w:val="06802AFF"/>
    <w:rsid w:val="0990281B"/>
    <w:rsid w:val="1BC54CD4"/>
    <w:rsid w:val="1C145FB8"/>
    <w:rsid w:val="200B78BC"/>
    <w:rsid w:val="201C22C2"/>
    <w:rsid w:val="250E6DEC"/>
    <w:rsid w:val="2B342308"/>
    <w:rsid w:val="2FA75988"/>
    <w:rsid w:val="2FD523A2"/>
    <w:rsid w:val="310144B8"/>
    <w:rsid w:val="436D237B"/>
    <w:rsid w:val="474728E7"/>
    <w:rsid w:val="48E801F7"/>
    <w:rsid w:val="4E8F3A11"/>
    <w:rsid w:val="5D283143"/>
    <w:rsid w:val="5E87093E"/>
    <w:rsid w:val="5EBF0B41"/>
    <w:rsid w:val="64B905E1"/>
    <w:rsid w:val="65156226"/>
    <w:rsid w:val="65542265"/>
    <w:rsid w:val="65B43583"/>
    <w:rsid w:val="68766F1D"/>
    <w:rsid w:val="79F6284F"/>
    <w:rsid w:val="7F7D3712"/>
    <w:rsid w:val="BFFFD8B1"/>
    <w:rsid w:val="FD7F28A7"/>
    <w:rsid w:val="FE77F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1610</Words>
  <Characters>1629</Characters>
  <Lines>0</Lines>
  <Paragraphs>0</Paragraphs>
  <TotalTime>1</TotalTime>
  <ScaleCrop>false</ScaleCrop>
  <LinksUpToDate>false</LinksUpToDate>
  <CharactersWithSpaces>1630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admin7</cp:lastModifiedBy>
  <cp:lastPrinted>2023-02-28T15:27:00Z</cp:lastPrinted>
  <dcterms:modified xsi:type="dcterms:W3CDTF">2024-04-02T15:23:58Z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5B1E4B35B51C47C0842134E1BA203D37</vt:lpwstr>
  </property>
</Properties>
</file>